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CA016D" w:rsidRPr="009612F0">
        <w:rPr>
          <w:sz w:val="24"/>
          <w:szCs w:val="24"/>
        </w:rPr>
        <w:t xml:space="preserve">ČTENÍ </w:t>
      </w:r>
      <w:r w:rsidR="009F6F69" w:rsidRPr="009612F0">
        <w:rPr>
          <w:sz w:val="24"/>
          <w:szCs w:val="24"/>
        </w:rPr>
        <w:t xml:space="preserve">A ZÁPIS </w:t>
      </w:r>
      <w:r w:rsidR="00CA016D" w:rsidRPr="009612F0">
        <w:rPr>
          <w:sz w:val="24"/>
          <w:szCs w:val="24"/>
        </w:rPr>
        <w:t>MATEMATICKÝCH POJMŮ - pexeso</w:t>
      </w:r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Pr="009612F0">
        <w:rPr>
          <w:sz w:val="24"/>
          <w:szCs w:val="24"/>
        </w:rPr>
        <w:t xml:space="preserve"> č</w:t>
      </w:r>
      <w:r w:rsidR="00212E79" w:rsidRPr="009612F0">
        <w:rPr>
          <w:sz w:val="24"/>
          <w:szCs w:val="24"/>
        </w:rPr>
        <w:t>eština, matematika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7523E1" w:rsidRPr="009612F0">
        <w:rPr>
          <w:sz w:val="24"/>
          <w:szCs w:val="24"/>
        </w:rPr>
        <w:t>8</w:t>
      </w:r>
      <w:r w:rsidR="00CA016D" w:rsidRPr="009612F0">
        <w:rPr>
          <w:sz w:val="24"/>
          <w:szCs w:val="24"/>
        </w:rPr>
        <w:t>. - 9</w:t>
      </w:r>
      <w:r w:rsidR="0092549F" w:rsidRPr="009612F0">
        <w:rPr>
          <w:sz w:val="24"/>
          <w:szCs w:val="24"/>
        </w:rPr>
        <w:t>. ročník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10 -15 min.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Didaktická hra na správné </w:t>
      </w:r>
      <w:r w:rsidR="00574F7F">
        <w:rPr>
          <w:sz w:val="24"/>
          <w:szCs w:val="24"/>
        </w:rPr>
        <w:t>čtení matematických pojmů, kterou je lze</w:t>
      </w:r>
      <w:r w:rsidR="00CA016D" w:rsidRPr="009612F0">
        <w:rPr>
          <w:sz w:val="24"/>
          <w:szCs w:val="24"/>
        </w:rPr>
        <w:t xml:space="preserve"> zařadit jak do hodin matematiky</w:t>
      </w:r>
      <w:r w:rsidR="00574F7F">
        <w:rPr>
          <w:sz w:val="24"/>
          <w:szCs w:val="24"/>
        </w:rPr>
        <w:t>, tak</w:t>
      </w:r>
      <w:r w:rsidR="00CA016D" w:rsidRPr="009612F0">
        <w:rPr>
          <w:sz w:val="24"/>
          <w:szCs w:val="24"/>
        </w:rPr>
        <w:t xml:space="preserve"> i češtiny. </w:t>
      </w:r>
      <w:r w:rsidR="00574F7F">
        <w:rPr>
          <w:sz w:val="24"/>
          <w:szCs w:val="24"/>
        </w:rPr>
        <w:t>Jedná se o propojení</w:t>
      </w:r>
      <w:r w:rsidR="00CA016D" w:rsidRPr="009612F0">
        <w:rPr>
          <w:sz w:val="24"/>
          <w:szCs w:val="24"/>
        </w:rPr>
        <w:t xml:space="preserve"> </w:t>
      </w:r>
      <w:r w:rsidR="00574F7F">
        <w:rPr>
          <w:sz w:val="24"/>
          <w:szCs w:val="24"/>
        </w:rPr>
        <w:t xml:space="preserve">čtenářské a matematické </w:t>
      </w:r>
      <w:r w:rsidR="00CA016D" w:rsidRPr="009612F0">
        <w:rPr>
          <w:sz w:val="24"/>
          <w:szCs w:val="24"/>
        </w:rPr>
        <w:t>gramotnost</w:t>
      </w:r>
      <w:r w:rsidR="00574F7F">
        <w:rPr>
          <w:sz w:val="24"/>
          <w:szCs w:val="24"/>
        </w:rPr>
        <w:t>i</w:t>
      </w:r>
      <w:r w:rsidR="00CA016D" w:rsidRPr="009612F0">
        <w:rPr>
          <w:sz w:val="24"/>
          <w:szCs w:val="24"/>
        </w:rPr>
        <w:t xml:space="preserve">.  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práce ve dvojici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pexeso do dvojice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>: Žáci pracují ve dvojici, případně ve větších skupinách. Od učitele ob</w:t>
      </w:r>
      <w:r w:rsidR="00574F7F">
        <w:rPr>
          <w:sz w:val="24"/>
          <w:szCs w:val="24"/>
        </w:rPr>
        <w:t>drží rozstříhané kartičky, které</w:t>
      </w:r>
      <w:r w:rsidR="0092549F" w:rsidRPr="009612F0">
        <w:rPr>
          <w:sz w:val="24"/>
          <w:szCs w:val="24"/>
        </w:rPr>
        <w:t xml:space="preserve"> rozloží na stůl popsanou stranou dolů. Začíná nejmladší žák, ten otočí dvě kartičky, jeho úkolem je najít dvě karty, které k sobě patří. Pokud najde správnou dvojici, pokračuje v</w:t>
      </w:r>
      <w:r w:rsidR="0069499E" w:rsidRPr="009612F0">
        <w:rPr>
          <w:sz w:val="24"/>
          <w:szCs w:val="24"/>
        </w:rPr>
        <w:t> tahu,</w:t>
      </w:r>
      <w:r w:rsidR="0092549F" w:rsidRPr="009612F0">
        <w:rPr>
          <w:sz w:val="24"/>
          <w:szCs w:val="24"/>
        </w:rPr>
        <w:t xml:space="preserve"> </w:t>
      </w:r>
      <w:r w:rsidR="0069499E" w:rsidRPr="009612F0">
        <w:rPr>
          <w:sz w:val="24"/>
          <w:szCs w:val="24"/>
        </w:rPr>
        <w:t>p</w:t>
      </w:r>
      <w:r w:rsidR="0092549F" w:rsidRPr="009612F0">
        <w:rPr>
          <w:sz w:val="24"/>
          <w:szCs w:val="24"/>
        </w:rPr>
        <w:t xml:space="preserve">okud ne, </w:t>
      </w:r>
      <w:r w:rsidR="00574F7F">
        <w:rPr>
          <w:sz w:val="24"/>
          <w:szCs w:val="24"/>
        </w:rPr>
        <w:t xml:space="preserve">hraje </w:t>
      </w:r>
      <w:r w:rsidR="0092549F" w:rsidRPr="009612F0">
        <w:rPr>
          <w:sz w:val="24"/>
          <w:szCs w:val="24"/>
        </w:rPr>
        <w:t xml:space="preserve">další hráč, který sedí po levici. </w:t>
      </w:r>
      <w:r w:rsidR="0069499E" w:rsidRPr="009612F0">
        <w:rPr>
          <w:sz w:val="24"/>
          <w:szCs w:val="24"/>
        </w:rPr>
        <w:t xml:space="preserve">Učitel chodí mezi žáky a kontroluje správnost provedení. </w:t>
      </w:r>
      <w:r w:rsidR="00574F7F">
        <w:rPr>
          <w:sz w:val="24"/>
          <w:szCs w:val="24"/>
        </w:rPr>
        <w:t>Vítězí hráč, který nasbírá nejvíce kartiček.</w:t>
      </w:r>
    </w:p>
    <w:p w:rsidR="007523E1" w:rsidRPr="00542EE2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9F6F69" w:rsidRDefault="008F27D7" w:rsidP="009612F0">
      <w:pPr>
        <w:spacing w:line="360" w:lineRule="auto"/>
        <w:rPr>
          <w:sz w:val="24"/>
          <w:szCs w:val="24"/>
        </w:rPr>
      </w:pPr>
      <w:hyperlink r:id="rId4" w:history="1">
        <w:r w:rsidR="009F6F69" w:rsidRPr="009612F0">
          <w:rPr>
            <w:rStyle w:val="Hypertextovodkaz"/>
            <w:color w:val="auto"/>
            <w:sz w:val="24"/>
            <w:szCs w:val="24"/>
          </w:rPr>
          <w:t>https://prirucka.ujc.cas.cz/?id=791</w:t>
        </w:r>
      </w:hyperlink>
    </w:p>
    <w:p w:rsidR="005D5C59" w:rsidRPr="005D5C59" w:rsidRDefault="008F27D7" w:rsidP="009612F0">
      <w:pPr>
        <w:spacing w:line="360" w:lineRule="auto"/>
        <w:rPr>
          <w:sz w:val="24"/>
          <w:szCs w:val="24"/>
        </w:rPr>
      </w:pPr>
      <w:hyperlink r:id="rId5" w:anchor="cteni-cislovek-a-jejich-pravopis" w:history="1">
        <w:r w:rsidR="005D5C59" w:rsidRPr="005D5C59">
          <w:rPr>
            <w:rStyle w:val="Hypertextovodkaz"/>
            <w:color w:val="auto"/>
          </w:rPr>
          <w:t>https://www.pravopisne.cz/2012/02/pravidla-cislovky/#cteni-cislovek-a-jejich-pravopis</w:t>
        </w:r>
      </w:hyperlink>
    </w:p>
    <w:p w:rsidR="009612F0" w:rsidRPr="009612F0" w:rsidRDefault="008F27D7" w:rsidP="009612F0">
      <w:pPr>
        <w:spacing w:line="360" w:lineRule="auto"/>
        <w:rPr>
          <w:sz w:val="24"/>
          <w:szCs w:val="24"/>
        </w:rPr>
      </w:pPr>
      <w:hyperlink r:id="rId6" w:history="1">
        <w:r w:rsidR="009612F0" w:rsidRPr="009612F0">
          <w:rPr>
            <w:rStyle w:val="Hypertextovodkaz"/>
            <w:color w:val="auto"/>
          </w:rPr>
          <w:t>https://cs.wikipedia.org/wiki/Perioda_(matematika)</w:t>
        </w:r>
      </w:hyperlink>
    </w:p>
    <w:p w:rsidR="007523E1" w:rsidRPr="009612F0" w:rsidRDefault="008F27D7" w:rsidP="009612F0">
      <w:pPr>
        <w:spacing w:line="360" w:lineRule="auto"/>
        <w:rPr>
          <w:sz w:val="24"/>
          <w:szCs w:val="24"/>
        </w:rPr>
      </w:pPr>
      <w:hyperlink r:id="rId7" w:history="1">
        <w:r w:rsidR="007523E1" w:rsidRPr="009612F0">
          <w:rPr>
            <w:rStyle w:val="Hypertextovodkaz"/>
            <w:color w:val="auto"/>
            <w:sz w:val="24"/>
            <w:szCs w:val="24"/>
          </w:rPr>
          <w:t>https://cs.wikipedia.org/wiki/Matematick%C3%A9_symboly_a_zna%C4%8Dky</w:t>
        </w:r>
      </w:hyperlink>
    </w:p>
    <w:p w:rsidR="00EE13C3" w:rsidRPr="0099683D" w:rsidRDefault="00CA016D" w:rsidP="009612F0">
      <w:pPr>
        <w:spacing w:line="360" w:lineRule="auto"/>
        <w:rPr>
          <w:sz w:val="24"/>
          <w:szCs w:val="24"/>
        </w:rPr>
      </w:pPr>
      <w:r w:rsidRPr="009612F0">
        <w:rPr>
          <w:sz w:val="24"/>
          <w:szCs w:val="24"/>
        </w:rPr>
        <w:t xml:space="preserve"> </w:t>
      </w:r>
      <w:hyperlink r:id="rId8" w:history="1">
        <w:r w:rsidRPr="0099683D">
          <w:rPr>
            <w:rStyle w:val="Hypertextovodkaz"/>
            <w:color w:val="auto"/>
            <w:sz w:val="24"/>
            <w:szCs w:val="24"/>
          </w:rPr>
          <w:t>http://www.nabla.cz/obsah/cestina/clanky/psani-procent.php</w:t>
        </w:r>
      </w:hyperlink>
    </w:p>
    <w:p w:rsidR="0099683D" w:rsidRPr="0099683D" w:rsidRDefault="008F27D7" w:rsidP="009612F0">
      <w:pPr>
        <w:spacing w:line="360" w:lineRule="auto"/>
        <w:rPr>
          <w:sz w:val="24"/>
          <w:szCs w:val="24"/>
        </w:rPr>
      </w:pPr>
      <w:hyperlink r:id="rId9" w:history="1">
        <w:r w:rsidR="0099683D" w:rsidRPr="0099683D">
          <w:rPr>
            <w:rStyle w:val="Hypertextovodkaz"/>
            <w:color w:val="auto"/>
          </w:rPr>
          <w:t>https://cs.wikipedia.org/wiki/Nekone%C4%8Dno</w:t>
        </w:r>
      </w:hyperlink>
    </w:p>
    <w:p w:rsidR="0092549F" w:rsidRPr="009612F0" w:rsidRDefault="0092549F" w:rsidP="009612F0">
      <w:pPr>
        <w:spacing w:line="360" w:lineRule="auto"/>
        <w:rPr>
          <w:sz w:val="24"/>
          <w:szCs w:val="24"/>
        </w:rPr>
      </w:pPr>
    </w:p>
    <w:p w:rsidR="0092549F" w:rsidRPr="009612F0" w:rsidRDefault="0092549F" w:rsidP="009612F0">
      <w:pPr>
        <w:spacing w:line="360" w:lineRule="auto"/>
        <w:rPr>
          <w:sz w:val="24"/>
          <w:szCs w:val="24"/>
        </w:rPr>
      </w:pPr>
    </w:p>
    <w:p w:rsidR="0092549F" w:rsidRPr="009612F0" w:rsidRDefault="0092549F" w:rsidP="009612F0">
      <w:pPr>
        <w:spacing w:line="360" w:lineRule="auto"/>
        <w:rPr>
          <w:sz w:val="24"/>
          <w:szCs w:val="24"/>
        </w:rPr>
      </w:pPr>
    </w:p>
    <w:p w:rsidR="0092549F" w:rsidRPr="009612F0" w:rsidRDefault="0092549F" w:rsidP="009612F0">
      <w:pPr>
        <w:spacing w:line="360" w:lineRule="auto"/>
        <w:rPr>
          <w:sz w:val="24"/>
          <w:szCs w:val="24"/>
        </w:rPr>
      </w:pPr>
    </w:p>
    <w:tbl>
      <w:tblPr>
        <w:tblStyle w:val="Mkatabulky"/>
        <w:tblW w:w="9268" w:type="dxa"/>
        <w:jc w:val="center"/>
        <w:tblLook w:val="04A0" w:firstRow="1" w:lastRow="0" w:firstColumn="1" w:lastColumn="0" w:noHBand="0" w:noVBand="1"/>
      </w:tblPr>
      <w:tblGrid>
        <w:gridCol w:w="2316"/>
        <w:gridCol w:w="2316"/>
        <w:gridCol w:w="2318"/>
        <w:gridCol w:w="2318"/>
      </w:tblGrid>
      <w:tr w:rsidR="009F6F69" w:rsidTr="0069499E">
        <w:trPr>
          <w:trHeight w:val="1967"/>
          <w:jc w:val="center"/>
        </w:trPr>
        <w:tc>
          <w:tcPr>
            <w:tcW w:w="2316" w:type="dxa"/>
            <w:vAlign w:val="center"/>
          </w:tcPr>
          <w:p w:rsidR="009F6F69" w:rsidRPr="00594033" w:rsidRDefault="009F6F69" w:rsidP="009F6F69">
            <w:pPr>
              <w:jc w:val="center"/>
              <w:rPr>
                <w:rFonts w:cstheme="minorHAnsi"/>
                <w:sz w:val="40"/>
                <w:szCs w:val="36"/>
              </w:rPr>
            </w:pPr>
            <w:r w:rsidRPr="00594033">
              <w:rPr>
                <w:rFonts w:cstheme="minorHAnsi"/>
                <w:sz w:val="40"/>
                <w:szCs w:val="36"/>
              </w:rPr>
              <w:lastRenderedPageBreak/>
              <w:t>20 %</w:t>
            </w:r>
          </w:p>
        </w:tc>
        <w:tc>
          <w:tcPr>
            <w:tcW w:w="2316" w:type="dxa"/>
            <w:vAlign w:val="center"/>
          </w:tcPr>
          <w:p w:rsidR="009F6F69" w:rsidRPr="0069499E" w:rsidRDefault="009F6F6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69499E">
              <w:rPr>
                <w:sz w:val="28"/>
                <w:szCs w:val="28"/>
              </w:rPr>
              <w:t>vacet procent</w:t>
            </w:r>
          </w:p>
        </w:tc>
        <w:tc>
          <w:tcPr>
            <w:tcW w:w="2318" w:type="dxa"/>
            <w:vAlign w:val="center"/>
          </w:tcPr>
          <w:p w:rsidR="009F6F69" w:rsidRPr="009F6F69" w:rsidRDefault="009F6F69" w:rsidP="009612F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9F6F69">
              <w:rPr>
                <w:rFonts w:cstheme="minorHAnsi"/>
                <w:color w:val="000000"/>
                <w:sz w:val="40"/>
                <w:szCs w:val="40"/>
                <w:shd w:val="clear" w:color="auto" w:fill="FFFFFF"/>
              </w:rPr>
              <w:t>1,</w:t>
            </w:r>
            <w:r>
              <w:rPr>
                <w:rFonts w:cstheme="minorHAnsi"/>
                <w:color w:val="000000"/>
                <w:sz w:val="40"/>
                <w:szCs w:val="40"/>
                <w:shd w:val="clear" w:color="auto" w:fill="FFFFFF"/>
              </w:rPr>
              <w:t>0</w:t>
            </w:r>
            <w:r w:rsidRPr="009F6F69">
              <w:rPr>
                <w:rFonts w:cstheme="minorHAnsi"/>
                <w:color w:val="000000"/>
                <w:sz w:val="40"/>
                <w:szCs w:val="40"/>
                <w:shd w:val="clear" w:color="auto" w:fill="FFFFFF"/>
              </w:rPr>
              <w:t>4</w:t>
            </w:r>
          </w:p>
        </w:tc>
        <w:tc>
          <w:tcPr>
            <w:tcW w:w="2318" w:type="dxa"/>
            <w:vAlign w:val="center"/>
          </w:tcPr>
          <w:p w:rsidR="009F6F69" w:rsidRPr="009F6F69" w:rsidRDefault="009F6F69" w:rsidP="009612F0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Style w:val="Zdraznn"/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</w:rPr>
              <w:t>J</w:t>
            </w:r>
            <w:r w:rsidRPr="009F6F69">
              <w:rPr>
                <w:rStyle w:val="Zdraznn"/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edna celá čtyři </w:t>
            </w:r>
            <w:r>
              <w:rPr>
                <w:rStyle w:val="Zdraznn"/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</w:rPr>
              <w:t>setiny</w:t>
            </w:r>
          </w:p>
        </w:tc>
      </w:tr>
      <w:tr w:rsidR="0092549F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2549F" w:rsidRPr="00594033" w:rsidRDefault="0092549F" w:rsidP="0092549F">
            <w:pPr>
              <w:jc w:val="center"/>
              <w:rPr>
                <w:rFonts w:cstheme="minorHAnsi"/>
                <w:sz w:val="40"/>
                <w:szCs w:val="36"/>
              </w:rPr>
            </w:pPr>
            <w:r w:rsidRPr="00594033">
              <w:rPr>
                <w:rFonts w:cstheme="minorHAnsi"/>
                <w:sz w:val="40"/>
                <w:szCs w:val="36"/>
              </w:rPr>
              <w:t>20%</w:t>
            </w:r>
          </w:p>
        </w:tc>
        <w:tc>
          <w:tcPr>
            <w:tcW w:w="2316" w:type="dxa"/>
            <w:vAlign w:val="center"/>
          </w:tcPr>
          <w:p w:rsidR="0092549F" w:rsidRPr="0069499E" w:rsidRDefault="0069499E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2549F" w:rsidRPr="0069499E">
              <w:rPr>
                <w:sz w:val="28"/>
                <w:szCs w:val="28"/>
              </w:rPr>
              <w:t>vacetiprocentní</w:t>
            </w:r>
          </w:p>
        </w:tc>
        <w:tc>
          <w:tcPr>
            <w:tcW w:w="2318" w:type="dxa"/>
            <w:vAlign w:val="center"/>
          </w:tcPr>
          <w:p w:rsidR="0092549F" w:rsidRPr="009F6F69" w:rsidRDefault="009F6F69" w:rsidP="009612F0">
            <w:pPr>
              <w:jc w:val="center"/>
              <w:rPr>
                <w:sz w:val="40"/>
                <w:szCs w:val="40"/>
              </w:rPr>
            </w:pPr>
            <w:r w:rsidRPr="009F6F69">
              <w:rPr>
                <w:sz w:val="40"/>
                <w:szCs w:val="40"/>
              </w:rPr>
              <w:t>17</w:t>
            </w:r>
          </w:p>
        </w:tc>
        <w:tc>
          <w:tcPr>
            <w:tcW w:w="2318" w:type="dxa"/>
            <w:vAlign w:val="center"/>
          </w:tcPr>
          <w:p w:rsidR="0092549F" w:rsidRPr="009F6F69" w:rsidRDefault="009F6F69" w:rsidP="009612F0">
            <w:pPr>
              <w:jc w:val="center"/>
              <w:rPr>
                <w:sz w:val="28"/>
                <w:szCs w:val="28"/>
              </w:rPr>
            </w:pPr>
            <w:r w:rsidRPr="009F6F69">
              <w:rPr>
                <w:sz w:val="28"/>
                <w:szCs w:val="28"/>
              </w:rPr>
              <w:t>Sedmnáct</w:t>
            </w:r>
          </w:p>
        </w:tc>
      </w:tr>
      <w:tr w:rsidR="0092549F" w:rsidTr="0069499E">
        <w:trPr>
          <w:trHeight w:val="1967"/>
          <w:jc w:val="center"/>
        </w:trPr>
        <w:tc>
          <w:tcPr>
            <w:tcW w:w="2316" w:type="dxa"/>
            <w:vAlign w:val="center"/>
          </w:tcPr>
          <w:p w:rsidR="0092549F" w:rsidRPr="00594033" w:rsidRDefault="0069499E" w:rsidP="0069499E">
            <w:pPr>
              <w:jc w:val="center"/>
              <w:rPr>
                <w:rFonts w:cstheme="minorHAnsi"/>
                <w:sz w:val="40"/>
                <w:szCs w:val="36"/>
              </w:rPr>
            </w:pPr>
            <w:r w:rsidRPr="00594033">
              <w:rPr>
                <w:rFonts w:cstheme="minorHAnsi"/>
                <w:sz w:val="40"/>
                <w:szCs w:val="36"/>
              </w:rPr>
              <w:t>3</w:t>
            </w:r>
            <w:r w:rsidR="007523E1" w:rsidRPr="00594033">
              <w:rPr>
                <w:rFonts w:cstheme="minorHAnsi"/>
                <w:sz w:val="40"/>
                <w:szCs w:val="36"/>
              </w:rPr>
              <w:t xml:space="preserve"> </w:t>
            </w:r>
            <w:r w:rsidRPr="00594033">
              <w:rPr>
                <w:rFonts w:cstheme="minorHAnsi"/>
                <w:sz w:val="40"/>
                <w:szCs w:val="36"/>
              </w:rPr>
              <w:t>&lt;</w:t>
            </w:r>
            <w:r w:rsidR="007523E1" w:rsidRPr="00594033">
              <w:rPr>
                <w:rFonts w:cstheme="minorHAnsi"/>
                <w:sz w:val="40"/>
                <w:szCs w:val="36"/>
              </w:rPr>
              <w:t xml:space="preserve"> </w:t>
            </w:r>
            <w:r w:rsidRPr="00594033">
              <w:rPr>
                <w:rFonts w:cstheme="minorHAnsi"/>
                <w:sz w:val="40"/>
                <w:szCs w:val="36"/>
              </w:rPr>
              <w:t>4</w:t>
            </w:r>
          </w:p>
        </w:tc>
        <w:tc>
          <w:tcPr>
            <w:tcW w:w="2316" w:type="dxa"/>
            <w:vAlign w:val="center"/>
          </w:tcPr>
          <w:p w:rsidR="0092549F" w:rsidRPr="0069499E" w:rsidRDefault="0069499E" w:rsidP="009612F0">
            <w:pPr>
              <w:jc w:val="center"/>
              <w:rPr>
                <w:sz w:val="28"/>
                <w:szCs w:val="28"/>
              </w:rPr>
            </w:pPr>
            <w:r w:rsidRPr="0069499E">
              <w:rPr>
                <w:sz w:val="28"/>
                <w:szCs w:val="28"/>
              </w:rPr>
              <w:t>Číslo tři je menší než číslo čtyři</w:t>
            </w:r>
          </w:p>
        </w:tc>
        <w:tc>
          <w:tcPr>
            <w:tcW w:w="2318" w:type="dxa"/>
            <w:vAlign w:val="center"/>
          </w:tcPr>
          <w:p w:rsidR="0092549F" w:rsidRPr="009F6F69" w:rsidRDefault="009F6F69" w:rsidP="009612F0">
            <w:pPr>
              <w:jc w:val="center"/>
              <w:rPr>
                <w:sz w:val="40"/>
                <w:szCs w:val="40"/>
              </w:rPr>
            </w:pPr>
            <w:r w:rsidRPr="009F6F69">
              <w:rPr>
                <w:sz w:val="40"/>
                <w:szCs w:val="40"/>
              </w:rPr>
              <w:t>17.</w:t>
            </w:r>
          </w:p>
        </w:tc>
        <w:tc>
          <w:tcPr>
            <w:tcW w:w="2318" w:type="dxa"/>
            <w:vAlign w:val="center"/>
          </w:tcPr>
          <w:p w:rsidR="0092549F" w:rsidRPr="009F6F69" w:rsidRDefault="009F6F69" w:rsidP="009612F0">
            <w:pPr>
              <w:jc w:val="center"/>
              <w:rPr>
                <w:sz w:val="28"/>
                <w:szCs w:val="28"/>
              </w:rPr>
            </w:pPr>
            <w:r w:rsidRPr="009F6F69">
              <w:rPr>
                <w:sz w:val="28"/>
                <w:szCs w:val="28"/>
              </w:rPr>
              <w:t>Sedmnáctý</w:t>
            </w:r>
          </w:p>
        </w:tc>
      </w:tr>
      <w:tr w:rsidR="0092549F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2549F" w:rsidRPr="00594033" w:rsidRDefault="007523E1" w:rsidP="007523E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94033">
              <w:rPr>
                <w:rFonts w:cstheme="minorHAnsi"/>
                <w:sz w:val="40"/>
                <w:szCs w:val="40"/>
              </w:rPr>
              <w:t>10</w:t>
            </w:r>
            <w:r w:rsidR="0069499E" w:rsidRPr="00594033">
              <w:rPr>
                <w:rFonts w:cstheme="minorHAnsi"/>
                <w:sz w:val="40"/>
                <w:szCs w:val="40"/>
              </w:rPr>
              <w:t>4</w:t>
            </w:r>
            <w:r w:rsidRPr="00594033">
              <w:rPr>
                <w:rFonts w:cstheme="minorHAnsi"/>
                <w:sz w:val="40"/>
                <w:szCs w:val="40"/>
              </w:rPr>
              <w:t xml:space="preserve"> </w:t>
            </w:r>
            <w:r w:rsidR="0069499E" w:rsidRPr="00594033">
              <w:rPr>
                <w:rFonts w:cstheme="minorHAnsi"/>
                <w:sz w:val="40"/>
                <w:szCs w:val="40"/>
              </w:rPr>
              <w:t>&gt;</w:t>
            </w:r>
            <w:r w:rsidRPr="00594033">
              <w:rPr>
                <w:rFonts w:cstheme="minorHAnsi"/>
                <w:sz w:val="40"/>
                <w:szCs w:val="40"/>
              </w:rPr>
              <w:t xml:space="preserve"> </w:t>
            </w:r>
            <w:r w:rsidR="0069499E" w:rsidRPr="00594033">
              <w:rPr>
                <w:rFonts w:cstheme="minorHAnsi"/>
                <w:sz w:val="40"/>
                <w:szCs w:val="40"/>
              </w:rPr>
              <w:t>3</w:t>
            </w:r>
            <w:r w:rsidRPr="00594033">
              <w:rPr>
                <w:rFonts w:cstheme="minorHAnsi"/>
                <w:sz w:val="40"/>
                <w:szCs w:val="40"/>
              </w:rPr>
              <w:t>1</w:t>
            </w:r>
          </w:p>
        </w:tc>
        <w:tc>
          <w:tcPr>
            <w:tcW w:w="2316" w:type="dxa"/>
            <w:vAlign w:val="center"/>
          </w:tcPr>
          <w:p w:rsidR="0092549F" w:rsidRPr="0069499E" w:rsidRDefault="0069499E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Číslo </w:t>
            </w:r>
            <w:r w:rsidR="007523E1">
              <w:rPr>
                <w:sz w:val="28"/>
                <w:szCs w:val="28"/>
              </w:rPr>
              <w:t>sto čtyři je vě</w:t>
            </w:r>
            <w:r>
              <w:rPr>
                <w:sz w:val="28"/>
                <w:szCs w:val="28"/>
              </w:rPr>
              <w:t>tší než číslo tři</w:t>
            </w:r>
            <w:r w:rsidR="007523E1">
              <w:rPr>
                <w:sz w:val="28"/>
                <w:szCs w:val="28"/>
              </w:rPr>
              <w:t>cet jedna</w:t>
            </w:r>
          </w:p>
        </w:tc>
        <w:tc>
          <w:tcPr>
            <w:tcW w:w="2318" w:type="dxa"/>
            <w:vAlign w:val="center"/>
          </w:tcPr>
          <w:p w:rsidR="0092549F" w:rsidRPr="009F6F69" w:rsidRDefault="008F27D7" w:rsidP="009612F0">
            <w:pPr>
              <w:jc w:val="center"/>
              <w:rPr>
                <w:sz w:val="40"/>
                <w:szCs w:val="40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2318" w:type="dxa"/>
            <w:vAlign w:val="center"/>
          </w:tcPr>
          <w:p w:rsidR="0092549F" w:rsidRPr="00594033" w:rsidRDefault="009F6F69" w:rsidP="009612F0">
            <w:pPr>
              <w:jc w:val="center"/>
              <w:rPr>
                <w:sz w:val="28"/>
                <w:szCs w:val="28"/>
              </w:rPr>
            </w:pPr>
            <w:r w:rsidRPr="00594033">
              <w:rPr>
                <w:sz w:val="28"/>
                <w:szCs w:val="28"/>
              </w:rPr>
              <w:t>Třetí odmocnina z čísla dvacet sedm</w:t>
            </w:r>
          </w:p>
        </w:tc>
      </w:tr>
      <w:tr w:rsidR="0092549F" w:rsidTr="0069499E">
        <w:trPr>
          <w:trHeight w:val="1967"/>
          <w:jc w:val="center"/>
        </w:trPr>
        <w:tc>
          <w:tcPr>
            <w:tcW w:w="2316" w:type="dxa"/>
            <w:vAlign w:val="center"/>
          </w:tcPr>
          <w:p w:rsidR="0092549F" w:rsidRPr="00594033" w:rsidRDefault="007523E1" w:rsidP="007523E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94033">
              <w:rPr>
                <w:rFonts w:cstheme="minorHAnsi"/>
                <w:color w:val="202122"/>
                <w:sz w:val="40"/>
                <w:szCs w:val="40"/>
                <w:shd w:val="clear" w:color="auto" w:fill="F8F9FA"/>
              </w:rPr>
              <w:t>3 ≤ 4</w:t>
            </w:r>
          </w:p>
        </w:tc>
        <w:tc>
          <w:tcPr>
            <w:tcW w:w="2316" w:type="dxa"/>
            <w:vAlign w:val="center"/>
          </w:tcPr>
          <w:p w:rsidR="0092549F" w:rsidRPr="0069499E" w:rsidRDefault="007523E1" w:rsidP="009612F0">
            <w:pPr>
              <w:jc w:val="center"/>
              <w:rPr>
                <w:sz w:val="28"/>
                <w:szCs w:val="28"/>
              </w:rPr>
            </w:pPr>
            <w:r w:rsidRPr="0069499E">
              <w:rPr>
                <w:sz w:val="28"/>
                <w:szCs w:val="28"/>
              </w:rPr>
              <w:t xml:space="preserve">Číslo tři je menší </w:t>
            </w:r>
            <w:r>
              <w:rPr>
                <w:sz w:val="28"/>
                <w:szCs w:val="28"/>
              </w:rPr>
              <w:t xml:space="preserve">nebo rovno číslu </w:t>
            </w:r>
            <w:r w:rsidRPr="0069499E">
              <w:rPr>
                <w:sz w:val="28"/>
                <w:szCs w:val="28"/>
              </w:rPr>
              <w:t>čtyři</w:t>
            </w:r>
          </w:p>
        </w:tc>
        <w:tc>
          <w:tcPr>
            <w:tcW w:w="2318" w:type="dxa"/>
            <w:vAlign w:val="center"/>
          </w:tcPr>
          <w:p w:rsidR="0092549F" w:rsidRPr="009F6F69" w:rsidRDefault="008F27D7" w:rsidP="009612F0">
            <w:pPr>
              <w:jc w:val="center"/>
              <w:rPr>
                <w:sz w:val="40"/>
                <w:szCs w:val="4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2318" w:type="dxa"/>
            <w:vAlign w:val="center"/>
          </w:tcPr>
          <w:p w:rsidR="0092549F" w:rsidRPr="00594033" w:rsidRDefault="00594033" w:rsidP="009612F0">
            <w:pPr>
              <w:jc w:val="center"/>
              <w:rPr>
                <w:sz w:val="28"/>
                <w:szCs w:val="28"/>
              </w:rPr>
            </w:pPr>
            <w:r w:rsidRPr="00594033">
              <w:rPr>
                <w:sz w:val="28"/>
                <w:szCs w:val="28"/>
              </w:rPr>
              <w:t>Druhá odmocnina z čísla dvacet sedm</w:t>
            </w:r>
          </w:p>
        </w:tc>
      </w:tr>
      <w:tr w:rsidR="007523E1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7523E1" w:rsidRPr="00594033" w:rsidRDefault="007523E1" w:rsidP="007523E1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94033">
              <w:rPr>
                <w:rFonts w:cstheme="minorHAnsi"/>
                <w:sz w:val="40"/>
                <w:szCs w:val="40"/>
              </w:rPr>
              <w:t xml:space="preserve">104 </w:t>
            </w:r>
            <w:r w:rsidRPr="00594033">
              <w:rPr>
                <w:rFonts w:cstheme="minorHAnsi"/>
                <w:color w:val="202122"/>
                <w:sz w:val="40"/>
                <w:szCs w:val="40"/>
                <w:shd w:val="clear" w:color="auto" w:fill="F8F9FA"/>
              </w:rPr>
              <w:t>≥ </w:t>
            </w:r>
            <w:r w:rsidRPr="00594033">
              <w:rPr>
                <w:rFonts w:cstheme="minorHAnsi"/>
                <w:sz w:val="40"/>
                <w:szCs w:val="40"/>
              </w:rPr>
              <w:t xml:space="preserve"> 31</w:t>
            </w:r>
          </w:p>
        </w:tc>
        <w:tc>
          <w:tcPr>
            <w:tcW w:w="2316" w:type="dxa"/>
            <w:vAlign w:val="center"/>
          </w:tcPr>
          <w:p w:rsidR="007523E1" w:rsidRPr="0069499E" w:rsidRDefault="007523E1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sto čtyři je větší nebo rovno číslu třicet jedna</w:t>
            </w:r>
          </w:p>
        </w:tc>
        <w:tc>
          <w:tcPr>
            <w:tcW w:w="2318" w:type="dxa"/>
            <w:vAlign w:val="center"/>
          </w:tcPr>
          <w:p w:rsidR="007523E1" w:rsidRPr="009F6F69" w:rsidRDefault="00594033" w:rsidP="009612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2.000 Kč</w:t>
            </w:r>
          </w:p>
        </w:tc>
        <w:tc>
          <w:tcPr>
            <w:tcW w:w="2318" w:type="dxa"/>
            <w:vAlign w:val="center"/>
          </w:tcPr>
          <w:p w:rsidR="007523E1" w:rsidRPr="009F6F69" w:rsidRDefault="00594033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Dva tisíce korun českých</w:t>
            </w:r>
          </w:p>
        </w:tc>
      </w:tr>
      <w:tr w:rsidR="007523E1" w:rsidTr="0069499E">
        <w:trPr>
          <w:trHeight w:val="1967"/>
          <w:jc w:val="center"/>
        </w:trPr>
        <w:tc>
          <w:tcPr>
            <w:tcW w:w="2316" w:type="dxa"/>
            <w:vAlign w:val="center"/>
          </w:tcPr>
          <w:p w:rsidR="007523E1" w:rsidRPr="00594033" w:rsidRDefault="009F6F69" w:rsidP="009F6F69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94033">
              <w:rPr>
                <w:rFonts w:cstheme="minorHAnsi"/>
                <w:color w:val="000000"/>
                <w:sz w:val="40"/>
                <w:szCs w:val="40"/>
                <w:shd w:val="clear" w:color="auto" w:fill="FFFFFF"/>
              </w:rPr>
              <w:t>1,4 </w:t>
            </w:r>
          </w:p>
        </w:tc>
        <w:tc>
          <w:tcPr>
            <w:tcW w:w="2316" w:type="dxa"/>
            <w:vAlign w:val="center"/>
          </w:tcPr>
          <w:p w:rsidR="007523E1" w:rsidRPr="009F6F69" w:rsidRDefault="009F6F69" w:rsidP="009612F0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>
              <w:rPr>
                <w:rStyle w:val="Zdraznn"/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</w:rPr>
              <w:t>J</w:t>
            </w:r>
            <w:r w:rsidRPr="009F6F69">
              <w:rPr>
                <w:rStyle w:val="Zdraznn"/>
                <w:rFonts w:cstheme="minorHAnsi"/>
                <w:i w:val="0"/>
                <w:color w:val="000000"/>
                <w:sz w:val="28"/>
                <w:szCs w:val="28"/>
                <w:shd w:val="clear" w:color="auto" w:fill="FFFFFF"/>
              </w:rPr>
              <w:t>edna celá čtyři desetiny</w:t>
            </w:r>
          </w:p>
        </w:tc>
        <w:tc>
          <w:tcPr>
            <w:tcW w:w="2318" w:type="dxa"/>
            <w:vAlign w:val="center"/>
          </w:tcPr>
          <w:p w:rsidR="007523E1" w:rsidRPr="009F6F69" w:rsidRDefault="00594033" w:rsidP="009612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2,00 Kč</w:t>
            </w:r>
          </w:p>
        </w:tc>
        <w:tc>
          <w:tcPr>
            <w:tcW w:w="2318" w:type="dxa"/>
            <w:vAlign w:val="center"/>
          </w:tcPr>
          <w:p w:rsidR="007523E1" w:rsidRPr="009F6F69" w:rsidRDefault="00594033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Dvě koruny české</w:t>
            </w:r>
          </w:p>
        </w:tc>
      </w:tr>
      <w:tr w:rsidR="007523E1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594033" w:rsidRPr="00594033" w:rsidRDefault="00594033" w:rsidP="00594033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40"/>
              </w:rPr>
            </w:pPr>
            <w:r w:rsidRPr="00594033">
              <w:rPr>
                <w:rFonts w:cstheme="minorHAnsi"/>
                <w:color w:val="202122"/>
                <w:sz w:val="40"/>
                <w:szCs w:val="21"/>
              </w:rPr>
              <w:lastRenderedPageBreak/>
              <w:br/>
            </w:r>
            <w:r w:rsidRPr="00594033">
              <w:rPr>
                <w:rFonts w:cstheme="minorHAnsi"/>
                <w:color w:val="202122"/>
                <w:sz w:val="40"/>
                <w:szCs w:val="40"/>
              </w:rPr>
              <w:t>10</w:t>
            </w:r>
            <w:r w:rsidRPr="00594033">
              <w:rPr>
                <w:rFonts w:cstheme="minorHAnsi"/>
                <w:color w:val="202122"/>
                <w:sz w:val="40"/>
                <w:szCs w:val="40"/>
                <w:vertAlign w:val="superscript"/>
              </w:rPr>
              <w:t>2</w:t>
            </w:r>
          </w:p>
          <w:p w:rsidR="007523E1" w:rsidRPr="00594033" w:rsidRDefault="007523E1" w:rsidP="007523E1">
            <w:pPr>
              <w:rPr>
                <w:rFonts w:cstheme="minorHAnsi"/>
                <w:sz w:val="40"/>
              </w:rPr>
            </w:pPr>
          </w:p>
        </w:tc>
        <w:tc>
          <w:tcPr>
            <w:tcW w:w="2316" w:type="dxa"/>
            <w:vAlign w:val="center"/>
          </w:tcPr>
          <w:p w:rsidR="007523E1" w:rsidRPr="0069499E" w:rsidRDefault="00594033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Deset na druhou</w:t>
            </w:r>
          </w:p>
        </w:tc>
        <w:tc>
          <w:tcPr>
            <w:tcW w:w="2318" w:type="dxa"/>
            <w:vAlign w:val="center"/>
          </w:tcPr>
          <w:p w:rsidR="007523E1" w:rsidRPr="00594033" w:rsidRDefault="008F27D7" w:rsidP="009612F0">
            <w:pPr>
              <w:jc w:val="center"/>
              <w:rPr>
                <w:rFonts w:cstheme="minorHAnsi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40"/>
                        <w:szCs w:val="40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2318" w:type="dxa"/>
            <w:vAlign w:val="center"/>
          </w:tcPr>
          <w:p w:rsidR="007523E1" w:rsidRPr="009F6F69" w:rsidRDefault="00594033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Deset na desátou</w:t>
            </w:r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594033" w:rsidRDefault="009612F0" w:rsidP="00594033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21"/>
              </w:rPr>
            </w:pPr>
            <w:r>
              <w:rPr>
                <w:rFonts w:cstheme="minorHAnsi"/>
                <w:color w:val="202122"/>
                <w:sz w:val="40"/>
                <w:szCs w:val="21"/>
              </w:rPr>
              <w:t>1 000 000</w:t>
            </w:r>
          </w:p>
        </w:tc>
        <w:tc>
          <w:tcPr>
            <w:tcW w:w="2316" w:type="dxa"/>
            <w:vAlign w:val="center"/>
          </w:tcPr>
          <w:p w:rsidR="009612F0" w:rsidRDefault="009612F0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Jeden milion</w:t>
            </w:r>
          </w:p>
        </w:tc>
        <w:tc>
          <w:tcPr>
            <w:tcW w:w="2318" w:type="dxa"/>
            <w:vAlign w:val="center"/>
          </w:tcPr>
          <w:p w:rsidR="009612F0" w:rsidRPr="00594033" w:rsidRDefault="009612F0" w:rsidP="009612F0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40"/>
                    <w:szCs w:val="40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18" w:type="dxa"/>
            <w:vAlign w:val="center"/>
          </w:tcPr>
          <w:p w:rsidR="009612F0" w:rsidRPr="009612F0" w:rsidRDefault="009612F0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12F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Jedna a tři čtvrtiny</w:t>
            </w:r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594033" w:rsidRDefault="009612F0" w:rsidP="00594033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21"/>
              </w:rPr>
            </w:pPr>
            <w:r>
              <w:rPr>
                <w:rFonts w:cstheme="minorHAnsi"/>
                <w:color w:val="202122"/>
                <w:sz w:val="40"/>
                <w:szCs w:val="21"/>
              </w:rPr>
              <w:t>10 000 000</w:t>
            </w:r>
          </w:p>
        </w:tc>
        <w:tc>
          <w:tcPr>
            <w:tcW w:w="2316" w:type="dxa"/>
            <w:vAlign w:val="center"/>
          </w:tcPr>
          <w:p w:rsidR="009612F0" w:rsidRDefault="009612F0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Deset milionů</w:t>
            </w:r>
          </w:p>
        </w:tc>
        <w:tc>
          <w:tcPr>
            <w:tcW w:w="2318" w:type="dxa"/>
            <w:vAlign w:val="center"/>
          </w:tcPr>
          <w:p w:rsidR="009612F0" w:rsidRPr="00594033" w:rsidRDefault="009612F0" w:rsidP="009612F0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sz w:val="40"/>
                <w:szCs w:val="40"/>
              </w:rPr>
              <w:t>1,34</w:t>
            </w:r>
          </w:p>
        </w:tc>
        <w:tc>
          <w:tcPr>
            <w:tcW w:w="2318" w:type="dxa"/>
            <w:vAlign w:val="center"/>
          </w:tcPr>
          <w:p w:rsidR="009612F0" w:rsidRDefault="009612F0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Jedna celá třicet čtyři setin</w:t>
            </w:r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9612F0" w:rsidRDefault="009612F0" w:rsidP="009612F0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2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202122"/>
                    <w:sz w:val="40"/>
                    <w:szCs w:val="21"/>
                  </w:rPr>
                  <m:t>6,</m:t>
                </m:r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  <w:color w:val="202122"/>
                        <w:sz w:val="40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202122"/>
                        <w:sz w:val="40"/>
                        <w:szCs w:val="21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2316" w:type="dxa"/>
            <w:vAlign w:val="center"/>
          </w:tcPr>
          <w:p w:rsidR="009612F0" w:rsidRPr="009612F0" w:rsidRDefault="009612F0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202122"/>
                <w:sz w:val="28"/>
                <w:szCs w:val="28"/>
                <w:shd w:val="clear" w:color="auto" w:fill="FFFFFF"/>
              </w:rPr>
              <w:t>Š</w:t>
            </w:r>
            <w:r w:rsidRPr="009612F0">
              <w:rPr>
                <w:rFonts w:cstheme="minorHAnsi"/>
                <w:color w:val="202122"/>
                <w:sz w:val="28"/>
                <w:szCs w:val="28"/>
                <w:shd w:val="clear" w:color="auto" w:fill="FFFFFF"/>
              </w:rPr>
              <w:t>est celých šest periodických</w:t>
            </w:r>
          </w:p>
        </w:tc>
        <w:tc>
          <w:tcPr>
            <w:tcW w:w="2318" w:type="dxa"/>
            <w:vAlign w:val="center"/>
          </w:tcPr>
          <w:p w:rsidR="009612F0" w:rsidRPr="005D5C59" w:rsidRDefault="005D5C59" w:rsidP="009612F0">
            <w:pPr>
              <w:jc w:val="center"/>
              <w:rPr>
                <w:rFonts w:eastAsia="Calibri" w:cstheme="minorHAnsi"/>
                <w:sz w:val="40"/>
                <w:szCs w:val="40"/>
              </w:rPr>
            </w:pPr>
            <w:r w:rsidRPr="005D5C59">
              <w:rPr>
                <w:rFonts w:cstheme="minorHAnsi"/>
                <w:color w:val="202122"/>
                <w:sz w:val="40"/>
                <w:szCs w:val="40"/>
                <w:shd w:val="clear" w:color="auto" w:fill="FFFFFF"/>
              </w:rPr>
              <w:t> </w:t>
            </w:r>
            <w:r w:rsidRPr="005D5C59">
              <w:rPr>
                <w:rFonts w:cstheme="minorHAnsi"/>
                <w:bCs/>
                <w:color w:val="202122"/>
                <w:sz w:val="40"/>
                <w:szCs w:val="40"/>
                <w:shd w:val="clear" w:color="auto" w:fill="FFFFFF"/>
              </w:rPr>
              <w:t>π</w:t>
            </w:r>
          </w:p>
        </w:tc>
        <w:tc>
          <w:tcPr>
            <w:tcW w:w="2318" w:type="dxa"/>
            <w:vAlign w:val="center"/>
          </w:tcPr>
          <w:p w:rsidR="009612F0" w:rsidRPr="005D5C59" w:rsidRDefault="005D5C59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iCs/>
                <w:color w:val="202122"/>
                <w:sz w:val="28"/>
                <w:szCs w:val="28"/>
                <w:shd w:val="clear" w:color="auto" w:fill="FFFFFF"/>
              </w:rPr>
              <w:t>P</w:t>
            </w:r>
            <w:r w:rsidRPr="005D5C59">
              <w:rPr>
                <w:rFonts w:cstheme="minorHAnsi"/>
                <w:iCs/>
                <w:color w:val="202122"/>
                <w:sz w:val="28"/>
                <w:szCs w:val="28"/>
                <w:shd w:val="clear" w:color="auto" w:fill="FFFFFF"/>
              </w:rPr>
              <w:t>í</w:t>
            </w:r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9612F0" w:rsidRDefault="008F27D7" w:rsidP="00594033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202122"/>
                        <w:sz w:val="40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202122"/>
                        <w:sz w:val="40"/>
                        <w:szCs w:val="21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202122"/>
                        <w:sz w:val="40"/>
                        <w:szCs w:val="21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316" w:type="dxa"/>
            <w:vAlign w:val="center"/>
          </w:tcPr>
          <w:p w:rsidR="009612F0" w:rsidRPr="009612F0" w:rsidRDefault="009612F0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D</w:t>
            </w:r>
            <w:r w:rsidRPr="009612F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vanáct dvacetin</w:t>
            </w:r>
          </w:p>
        </w:tc>
        <w:tc>
          <w:tcPr>
            <w:tcW w:w="2318" w:type="dxa"/>
            <w:vAlign w:val="center"/>
          </w:tcPr>
          <w:p w:rsidR="009612F0" w:rsidRPr="00594033" w:rsidRDefault="008F27D7" w:rsidP="009612F0">
            <w:pPr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40"/>
                        <w:szCs w:val="40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2318" w:type="dxa"/>
            <w:vAlign w:val="center"/>
          </w:tcPr>
          <w:p w:rsidR="009612F0" w:rsidRDefault="005D5C59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Miliarda</w:t>
            </w:r>
          </w:p>
        </w:tc>
      </w:tr>
      <w:tr w:rsidR="009612F0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612F0" w:rsidRPr="00594033" w:rsidRDefault="008F27D7" w:rsidP="00594033">
            <w:pPr>
              <w:spacing w:before="240" w:after="240"/>
              <w:jc w:val="center"/>
              <w:rPr>
                <w:rFonts w:cstheme="minorHAnsi"/>
                <w:color w:val="202122"/>
                <w:sz w:val="40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202122"/>
                        <w:sz w:val="40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202122"/>
                        <w:sz w:val="40"/>
                        <w:szCs w:val="21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202122"/>
                        <w:sz w:val="40"/>
                        <w:szCs w:val="21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316" w:type="dxa"/>
            <w:vAlign w:val="center"/>
          </w:tcPr>
          <w:p w:rsidR="009612F0" w:rsidRPr="0099683D" w:rsidRDefault="009612F0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9683D">
              <w:rPr>
                <w:rFonts w:cstheme="minorHAnsi"/>
                <w:sz w:val="28"/>
                <w:szCs w:val="28"/>
              </w:rPr>
              <w:t>Dvacet dvanáctin</w:t>
            </w:r>
          </w:p>
        </w:tc>
        <w:tc>
          <w:tcPr>
            <w:tcW w:w="2318" w:type="dxa"/>
            <w:vAlign w:val="center"/>
          </w:tcPr>
          <w:p w:rsidR="009612F0" w:rsidRPr="005D5C59" w:rsidRDefault="005D5C59" w:rsidP="009612F0">
            <w:pPr>
              <w:jc w:val="center"/>
              <w:rPr>
                <w:rFonts w:eastAsia="Calibri" w:cstheme="minorHAnsi"/>
                <w:b/>
                <w:sz w:val="40"/>
                <w:szCs w:val="40"/>
              </w:rPr>
            </w:pPr>
            <w:r w:rsidRPr="005D5C59">
              <w:rPr>
                <w:rStyle w:val="Siln"/>
                <w:rFonts w:cstheme="minorHAnsi"/>
                <w:b w:val="0"/>
                <w:sz w:val="40"/>
                <w:szCs w:val="40"/>
                <w:bdr w:val="none" w:sz="0" w:space="0" w:color="auto" w:frame="1"/>
                <w:shd w:val="clear" w:color="auto" w:fill="FFFFFF"/>
              </w:rPr>
              <w:t>70letý</w:t>
            </w:r>
          </w:p>
        </w:tc>
        <w:tc>
          <w:tcPr>
            <w:tcW w:w="2318" w:type="dxa"/>
            <w:vAlign w:val="center"/>
          </w:tcPr>
          <w:p w:rsidR="009612F0" w:rsidRPr="005D5C59" w:rsidRDefault="005D5C59" w:rsidP="009612F0">
            <w:pPr>
              <w:jc w:val="center"/>
              <w:rPr>
                <w:sz w:val="28"/>
                <w:szCs w:val="28"/>
              </w:rPr>
            </w:pPr>
            <w:r w:rsidRPr="005D5C59">
              <w:rPr>
                <w:sz w:val="28"/>
                <w:szCs w:val="28"/>
              </w:rPr>
              <w:t>Sedmdesátiletý</w:t>
            </w:r>
          </w:p>
        </w:tc>
      </w:tr>
      <w:tr w:rsidR="0099683D" w:rsidTr="0069499E">
        <w:trPr>
          <w:trHeight w:val="1857"/>
          <w:jc w:val="center"/>
        </w:trPr>
        <w:tc>
          <w:tcPr>
            <w:tcW w:w="2316" w:type="dxa"/>
            <w:vAlign w:val="center"/>
          </w:tcPr>
          <w:p w:rsidR="0099683D" w:rsidRPr="0099683D" w:rsidRDefault="0099683D" w:rsidP="00594033">
            <w:pPr>
              <w:spacing w:before="240" w:after="240"/>
              <w:jc w:val="center"/>
              <w:rPr>
                <w:rFonts w:eastAsia="Calibri" w:cstheme="minorHAnsi"/>
                <w:color w:val="202122"/>
                <w:sz w:val="40"/>
                <w:szCs w:val="40"/>
              </w:rPr>
            </w:pPr>
            <w:r w:rsidRPr="0099683D">
              <w:rPr>
                <w:rFonts w:cstheme="minorHAnsi"/>
                <w:color w:val="202122"/>
                <w:sz w:val="40"/>
                <w:szCs w:val="40"/>
                <w:shd w:val="clear" w:color="auto" w:fill="FFFFFF"/>
              </w:rPr>
              <w:t>∞</w:t>
            </w:r>
          </w:p>
        </w:tc>
        <w:tc>
          <w:tcPr>
            <w:tcW w:w="2316" w:type="dxa"/>
            <w:vAlign w:val="center"/>
          </w:tcPr>
          <w:p w:rsidR="0099683D" w:rsidRPr="0099683D" w:rsidRDefault="0099683D" w:rsidP="009612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9683D">
              <w:rPr>
                <w:rFonts w:cstheme="minorHAnsi"/>
                <w:color w:val="202122"/>
                <w:sz w:val="28"/>
                <w:szCs w:val="28"/>
                <w:shd w:val="clear" w:color="auto" w:fill="F8F9FA"/>
              </w:rPr>
              <w:t>Nekonečno</w:t>
            </w:r>
          </w:p>
        </w:tc>
        <w:tc>
          <w:tcPr>
            <w:tcW w:w="2318" w:type="dxa"/>
            <w:vAlign w:val="center"/>
          </w:tcPr>
          <w:p w:rsidR="0099683D" w:rsidRPr="005D5C59" w:rsidRDefault="0099683D" w:rsidP="009612F0">
            <w:pPr>
              <w:jc w:val="center"/>
              <w:rPr>
                <w:rStyle w:val="Siln"/>
                <w:rFonts w:cstheme="minorHAnsi"/>
                <w:b w:val="0"/>
                <w:sz w:val="40"/>
                <w:szCs w:val="40"/>
                <w:bdr w:val="none" w:sz="0" w:space="0" w:color="auto" w:frame="1"/>
                <w:shd w:val="clear" w:color="auto" w:fill="FFFFFF"/>
              </w:rPr>
            </w:pPr>
            <w:r>
              <w:rPr>
                <w:rStyle w:val="Siln"/>
                <w:rFonts w:cstheme="minorHAnsi"/>
                <w:b w:val="0"/>
                <w:sz w:val="40"/>
                <w:szCs w:val="40"/>
                <w:bdr w:val="none" w:sz="0" w:space="0" w:color="auto" w:frame="1"/>
                <w:shd w:val="clear" w:color="auto" w:fill="FFFFFF"/>
              </w:rPr>
              <w:t>7letý</w:t>
            </w:r>
          </w:p>
        </w:tc>
        <w:tc>
          <w:tcPr>
            <w:tcW w:w="2318" w:type="dxa"/>
            <w:vAlign w:val="center"/>
          </w:tcPr>
          <w:p w:rsidR="0099683D" w:rsidRPr="005D5C59" w:rsidRDefault="0099683D" w:rsidP="0096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Sedmiletý</w:t>
            </w:r>
          </w:p>
        </w:tc>
      </w:tr>
    </w:tbl>
    <w:p w:rsidR="00EE13C3" w:rsidRDefault="00EE13C3"/>
    <w:sectPr w:rsidR="00EE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3"/>
    <w:rsid w:val="00212E79"/>
    <w:rsid w:val="00542EE2"/>
    <w:rsid w:val="00574F7F"/>
    <w:rsid w:val="00594033"/>
    <w:rsid w:val="005D5C59"/>
    <w:rsid w:val="0069499E"/>
    <w:rsid w:val="007523E1"/>
    <w:rsid w:val="008F27D7"/>
    <w:rsid w:val="0092549F"/>
    <w:rsid w:val="009612F0"/>
    <w:rsid w:val="0099683D"/>
    <w:rsid w:val="009F6F69"/>
    <w:rsid w:val="00CA016D"/>
    <w:rsid w:val="00CB2EE8"/>
    <w:rsid w:val="00E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la.cz/obsah/cestina/clanky/psani-procen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Matematick%C3%A9_symboly_a_zna%C4%8D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Perioda_(matematika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avopisne.cz/2012/02/pravidla-cislovk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irucka.ujc.cas.cz/?id=791" TargetMode="External"/><Relationship Id="rId9" Type="http://schemas.openxmlformats.org/officeDocument/2006/relationships/hyperlink" Target="https://cs.wikipedia.org/wiki/Nekone%C4%8Dn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Renáta Drábová</cp:lastModifiedBy>
  <cp:revision>2</cp:revision>
  <dcterms:created xsi:type="dcterms:W3CDTF">2020-08-23T10:32:00Z</dcterms:created>
  <dcterms:modified xsi:type="dcterms:W3CDTF">2020-08-23T10:32:00Z</dcterms:modified>
</cp:coreProperties>
</file>